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40"/>
      </w:pPr>
      <w:r>
        <w:rPr>
          <w:b w:val="false"/>
          <w:bCs w:val="false"/>
          <w:color w:val="6B6560"/>
          <w:sz w:val="18"/>
          <w:szCs w:val="18"/>
        </w:rPr>
        <w:t xml:space="preserve">Session plan</w:t>
      </w:r>
    </w:p>
    <w:p>
      <w:pPr>
        <w:pStyle w:val="Heading1"/>
        <w:spacing w:after="120" w:before="280"/>
      </w:pPr>
      <w:r>
        <w:rPr>
          <w:b/>
          <w:bCs/>
          <w:color w:val="EC3013"/>
          <w:sz w:val="36"/>
          <w:szCs w:val="36"/>
        </w:rPr>
        <w:t xml:space="preserve">1. Plan and prepare</w:t>
      </w:r>
    </w:p>
    <w:p>
      <w:pPr>
        <w:spacing w:after="140"/>
      </w:pPr>
      <w:r>
        <w:rPr>
          <w:b w:val="false"/>
          <w:bCs w:val="false"/>
          <w:color w:val="6B6560"/>
          <w:sz w:val="18"/>
          <w:szCs w:val="18"/>
        </w:rPr>
        <w:t xml:space="preserve">CPCCCM2006 — Apply basic levelling procedures · Sample RTO · About 440 minutes</w:t>
      </w:r>
    </w:p>
    <w:p>
      <w:pPr>
        <w:spacing w:after="140"/>
      </w:pPr>
      <w:r>
        <w:rPr>
          <w:b w:val="false"/>
          <w:bCs w:val="false"/>
          <w:color w:val="6B6560"/>
          <w:sz w:val="18"/>
          <w:szCs w:val="18"/>
        </w:rPr>
        <w:t xml:space="preserve">Timings are a starting point — move them to suit your class and your session length.</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c>
          <w:tcPr>
            <w:tcW w:type="pct" w:w="10%"/>
            <w:shd w:fill="201E1D" w:color="auto" w:val="clear"/>
            <w:tcMar>
              <w:top w:type="dxa" w:w="72"/>
              <w:left w:type="dxa" w:w="115"/>
              <w:bottom w:type="dxa" w:w="72"/>
              <w:right w:type="dxa" w:w="115"/>
            </w:tcMar>
            <w:vAlign w:val="top"/>
          </w:tcPr>
          <w:p>
            <w:pPr>
              <w:spacing w:after="140"/>
            </w:pPr>
            <w:r>
              <w:rPr>
                <w:b/>
                <w:bCs/>
                <w:color w:val="FFFFFF"/>
                <w:sz w:val="22"/>
                <w:szCs w:val="22"/>
              </w:rPr>
              <w:t xml:space="preserve">Time</w:t>
            </w:r>
          </w:p>
        </w:tc>
        <w:tc>
          <w:tcPr>
            <w:tcW w:type="pct" w:w="26%"/>
            <w:shd w:fill="201E1D" w:color="auto" w:val="clear"/>
            <w:tcMar>
              <w:top w:type="dxa" w:w="72"/>
              <w:left w:type="dxa" w:w="115"/>
              <w:bottom w:type="dxa" w:w="72"/>
              <w:right w:type="dxa" w:w="115"/>
            </w:tcMar>
            <w:vAlign w:val="top"/>
          </w:tcPr>
          <w:p>
            <w:pPr>
              <w:spacing w:after="140"/>
            </w:pPr>
            <w:r>
              <w:rPr>
                <w:b/>
                <w:bCs/>
                <w:color w:val="FFFFFF"/>
                <w:sz w:val="22"/>
                <w:szCs w:val="22"/>
              </w:rPr>
              <w:t xml:space="preserve">What happens</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Detail</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Introduction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What this session covers and why it matters on the job. Safety brief if tools are used. Criteria in focus: PC 1.1, 1.2, 1.3, 1.4, 1.5.</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Why planning decides the accuracy</w:t>
            </w:r>
          </w:p>
        </w:tc>
        <w:tc>
          <w:tcPr>
            <w:tcMar>
              <w:top w:type="dxa" w:w="72"/>
              <w:left w:type="dxa" w:w="115"/>
              <w:bottom w:type="dxa" w:w="72"/>
              <w:right w:type="dxa" w:w="115"/>
            </w:tcMar>
            <w:vAlign w:val="top"/>
          </w:tcPr>
          <w:p>
            <w:pPr>
              <w:spacing w:after="140"/>
            </w:pPr>
            <w:r>
              <w:rPr>
                <w:b w:val="false"/>
                <w:bCs w:val="false"/>
                <w:color w:val="201E1D"/>
                <w:sz w:val="22"/>
                <w:szCs w:val="22"/>
              </w:rPr>
              <w:t xml:space="preserve">Wrong datum repeats through every mark you make that day · Errors are found at fit-out, not at set-out — after the concrete · A loose tripod clamp beats a bad instrument for causing bad levels · Half an hour of planning saves a day of demolition</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Reading the job — what you are looking for</w:t>
            </w:r>
          </w:p>
        </w:tc>
        <w:tc>
          <w:tcPr>
            <w:tcMar>
              <w:top w:type="dxa" w:w="72"/>
              <w:left w:type="dxa" w:w="115"/>
              <w:bottom w:type="dxa" w:w="72"/>
              <w:right w:type="dxa" w:w="115"/>
            </w:tcMar>
            <w:vAlign w:val="top"/>
          </w:tcPr>
          <w:p>
            <w:pPr>
              <w:spacing w:after="140"/>
            </w:pPr>
            <w:r>
              <w:rPr>
                <w:b w:val="false"/>
                <w:bCs w:val="false"/>
                <w:color w:val="201E1D"/>
                <w:sz w:val="22"/>
                <w:szCs w:val="22"/>
              </w:rPr>
              <w:t xml:space="preserve">The datum or TBM and its RL — find it on the plan and in the ground · Every required height: FFL, top of footing, invert level, top of wall · Falls and gradients converted to millimetres before you start · Legend, notes and revision date — not just the numbers · Write the level schedule in the field book</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Confirming with the supervisor</w:t>
            </w:r>
          </w:p>
        </w:tc>
        <w:tc>
          <w:tcPr>
            <w:tcMar>
              <w:top w:type="dxa" w:w="72"/>
              <w:left w:type="dxa" w:w="115"/>
              <w:bottom w:type="dxa" w:w="72"/>
              <w:right w:type="dxa" w:w="115"/>
            </w:tcMar>
            <w:vAlign w:val="top"/>
          </w:tcPr>
          <w:p>
            <w:pPr>
              <w:spacing w:after="140"/>
            </w:pPr>
            <w:r>
              <w:rPr>
                <w:b w:val="false"/>
                <w:bCs w:val="false"/>
                <w:color w:val="201E1D"/>
                <w:sz w:val="22"/>
                <w:szCs w:val="22"/>
              </w:rPr>
              <w:t xml:space="preserve">Read the figures back out loud and wait for a yes · A nod at a drawing is not confirmation · Write down any verbal change: figure, date, who gave it · Plan and supervisor disagree? Stop and resolve it in writing</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Site walk — eyes up, down and along</w:t>
            </w:r>
          </w:p>
        </w:tc>
        <w:tc>
          <w:tcPr>
            <w:tcMar>
              <w:top w:type="dxa" w:w="72"/>
              <w:left w:type="dxa" w:w="115"/>
              <w:bottom w:type="dxa" w:w="72"/>
              <w:right w:type="dxa" w:w="115"/>
            </w:tcMar>
            <w:vAlign w:val="top"/>
          </w:tcPr>
          <w:p>
            <w:pPr>
              <w:spacing w:after="140"/>
            </w:pPr>
            <w:r>
              <w:rPr>
                <w:b w:val="false"/>
                <w:bCs w:val="false"/>
                <w:color w:val="201E1D"/>
                <w:sz w:val="22"/>
                <w:szCs w:val="22"/>
              </w:rPr>
              <w:t xml:space="preserve">UP: powerlines, service drops, crane and excavator swing · DOWN: excavations, edges, starter bars, soft or filled ground · ALONG: sight lines blocked by stacks, fences, formwork · AROUND: plant routes, other trades, traffic · WEATHER: glare, heat shimmer, wind, low sun</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The killer hazard — overhead powerlines</w:t>
            </w:r>
          </w:p>
        </w:tc>
        <w:tc>
          <w:tcPr>
            <w:tcMar>
              <w:top w:type="dxa" w:w="72"/>
              <w:left w:type="dxa" w:w="115"/>
              <w:bottom w:type="dxa" w:w="72"/>
              <w:right w:type="dxa" w:w="115"/>
            </w:tcMar>
            <w:vAlign w:val="top"/>
          </w:tcPr>
          <w:p>
            <w:pPr>
              <w:spacing w:after="140"/>
            </w:pPr>
            <w:r>
              <w:rPr>
                <w:b w:val="false"/>
                <w:bCs w:val="false"/>
                <w:color w:val="201E1D"/>
                <w:sz w:val="22"/>
                <w:szCs w:val="22"/>
              </w:rPr>
              <w:t xml:space="preserve">A telescopic staff conducts — aluminium and fibreglass both · Electricity arcs; the staff does not have to touch the line · Exclusion zone applies to the staff, not just the person · Never extend a staff to find out how close it is · Point inside the zone? Report it and use another set-up</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Reporting hazards</w:t>
            </w:r>
          </w:p>
        </w:tc>
        <w:tc>
          <w:tcPr>
            <w:tcMar>
              <w:top w:type="dxa" w:w="72"/>
              <w:left w:type="dxa" w:w="115"/>
              <w:bottom w:type="dxa" w:w="72"/>
              <w:right w:type="dxa" w:w="115"/>
            </w:tcMar>
            <w:vAlign w:val="top"/>
          </w:tcPr>
          <w:p>
            <w:pPr>
              <w:spacing w:after="140"/>
            </w:pPr>
            <w:r>
              <w:rPr>
                <w:b w:val="false"/>
                <w:bCs w:val="false"/>
                <w:color w:val="201E1D"/>
                <w:sz w:val="22"/>
                <w:szCs w:val="22"/>
              </w:rPr>
              <w:t xml:space="preserve">Control what is inside your role · Report the rest to the supervisor — verbally, then in writing · Hazard report, pre-start book or site diary: dated and named · Immediately dangerous means stop now, not at smoko · Check the SWMS actually covers what you found, then sign on</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Serviceability checks before the job starts</w:t>
            </w:r>
          </w:p>
        </w:tc>
        <w:tc>
          <w:tcPr>
            <w:tcMar>
              <w:top w:type="dxa" w:w="72"/>
              <w:left w:type="dxa" w:w="115"/>
              <w:bottom w:type="dxa" w:w="72"/>
              <w:right w:type="dxa" w:w="115"/>
            </w:tcMar>
            <w:vAlign w:val="top"/>
          </w:tcPr>
          <w:p>
            <w:pPr>
              <w:spacing w:after="140"/>
            </w:pPr>
            <w:r>
              <w:rPr>
                <w:b w:val="false"/>
                <w:bCs w:val="false"/>
                <w:color w:val="201E1D"/>
                <w:sz w:val="22"/>
                <w:szCs w:val="22"/>
              </w:rPr>
              <w:t xml:space="preserve">Tripod first: lift by the head, feel for play, tighten every clamp · Level: clean optics, bubble stays centred through 360 degrees · Tap the instrument — the compensator must swing free · Staff: every section extends and locks, face readable · Spirit level: reverse it end-for-end — same reading or it's out · Water level: no air, no kinks. Laser: battery, self-level, detector</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Faults, roles and signals</w:t>
            </w:r>
          </w:p>
        </w:tc>
        <w:tc>
          <w:tcPr>
            <w:tcMar>
              <w:top w:type="dxa" w:w="72"/>
              <w:left w:type="dxa" w:w="115"/>
              <w:bottom w:type="dxa" w:w="72"/>
              <w:right w:type="dxa" w:w="115"/>
            </w:tcMar>
            <w:vAlign w:val="top"/>
          </w:tcPr>
          <w:p>
            <w:pPr>
              <w:spacing w:after="140"/>
            </w:pPr>
            <w:r>
              <w:rPr>
                <w:b w:val="false"/>
                <w:bCs w:val="false"/>
                <w:color w:val="201E1D"/>
                <w:sz w:val="22"/>
                <w:szCs w:val="22"/>
              </w:rPr>
              <w:t xml:space="preserve">Fix what you're authorised to fix — batteries, cleaning, clamps · Everything else: out-of-service tag and a written report · Never work around a known fault · Agree roles: instrument, staff, recorder, spotter · Agree signals: left, right, raise, lower, hold, read, STOP · Demonstrate every signal before you separate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Get the job requirements clear</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Collect the drawings and documents for the levelling task from the supervisor or site office.; Identify the datum or temporary benchmark on the plan and locate it physically on site.; Read the legend, notes and dimension symbols on the plan and identify every level you have to transfer.; Convert falls, gradients and offsets into finished figures in millimetres.; Confirm the datum, the levels and any tolerance with the supervisor, leading hand or site engineer.</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Inspect the work site</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Walk the full area you will be levelling across, including where the instrument will stand and where the staff will be held.; Look up and identify overhead powerlines, service drops, crane and excavator swing paths and scaffold above.; Identify ground and edge hazards along the route between instrument and staff positions.; Identify plant, traffic and other trades working in or through the area.; Identify environmental conditions that will affect the work — sun glare, heat, wind, rain, dust and low light.; Report hazards outside your control through the workplace procedure.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Confirm health and safety requirements</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Read the SWMS or JSA covering the levelling task.; Sign on to the SWMS or JSA and attend the site pre-start or toolbox talk.; Fit and check the PPE required for the task.; Confirm site rules that affect the levelling task.</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Select and check the levelling equipment</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Select levelling devices to suit the job requirements, distance and accuracy needed.; Inspect the tripod before the instrument.; Check the automatic or optical level for serviceability.; Check the staff, spirit level, hose and laser as applicable.; Rectify minor faults or tag out and report anything you cannot fix.</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Set up the team and signals</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Nominate roles for the task.; Agree the verbal and non-verbal signals you will use.; Confirm the stop-work signal and how it will be used.; Confirm the recording method and where results will be written.</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60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Datum hunt and level schedule</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are given a residential set-out plan and footing detail for a single-storey slab-on-ground job. Working in pairs, identify the datum shown on the plan and its RL, then list every level you would have to transfer for the footings and slab. Where a level is shown as a fall, a gradient or an offset, work out the finished figure in millimetres and show your working. Write the lot up as a level schedule in your field book. When you are done, present the schedule to your trainer acting as the site supervisor and confirm the figures by reading them back. Your trainer will change one figure verbally — record the change and note who gave it and when.</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Pre-start site walk and hazard report</w:t>
            </w:r>
          </w:p>
        </w:tc>
        <w:tc>
          <w:tcPr>
            <w:tcMar>
              <w:top w:type="dxa" w:w="72"/>
              <w:left w:type="dxa" w:w="115"/>
              <w:bottom w:type="dxa" w:w="72"/>
              <w:right w:type="dxa" w:w="115"/>
            </w:tcMar>
            <w:vAlign w:val="top"/>
          </w:tcPr>
          <w:p>
            <w:pPr>
              <w:spacing w:after="140"/>
            </w:pPr>
            <w:r>
              <w:rPr>
                <w:b w:val="false"/>
                <w:bCs w:val="false"/>
                <w:color w:val="201E1D"/>
                <w:sz w:val="22"/>
                <w:szCs w:val="22"/>
              </w:rPr>
              <w:t xml:space="preserve">Walk the training compound or simulated work site with your partner as if you were about to set up a level and transfer heights across it. Identify hazards that affect levelling work specifically: overhead services, excavations and edges, plant and traffic movement, soft or filled ground under the tripod, obstructed sight lines, glare, wind and heat. For each one, state whether it is inside your role to control, and what you did or who you told. Complete the site hazard report form and hand it in. Then read the SWMS provided for the levelling task and mark any hazard you found that the SWMS does not cover.</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60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Serviceability check of levelling equipment</w:t>
            </w:r>
          </w:p>
        </w:tc>
        <w:tc>
          <w:tcPr>
            <w:tcMar>
              <w:top w:type="dxa" w:w="72"/>
              <w:left w:type="dxa" w:w="115"/>
              <w:bottom w:type="dxa" w:w="72"/>
              <w:right w:type="dxa" w:w="115"/>
            </w:tcMar>
            <w:vAlign w:val="top"/>
          </w:tcPr>
          <w:p>
            <w:pPr>
              <w:spacing w:after="140"/>
            </w:pPr>
            <w:r>
              <w:rPr>
                <w:b w:val="false"/>
                <w:bCs w:val="false"/>
                <w:color w:val="201E1D"/>
                <w:sz w:val="22"/>
                <w:szCs w:val="22"/>
              </w:rPr>
              <w:t xml:space="preserve">At the equipment bench you will find an automatic level and tripod, a telescopic staff, a 1200 mm spirit level with a straight edge, a clear water level hose, and a rotating laser with detector. Work through each item against the manufacturer's instructions and a serviceability checklist: tripod legs, clamps and shoes; instrument case, footscrews, bubble vial and compensator; staff sections, locking clips and face; spirit level vial reversed end-for-end on a known flat surface; hose free of air and kinks; laser battery, self-levelling function and detector. At least one item on the bench has a fault. Record every check, state which item is unserviceable, and take the correct action — rectify it if you are authorised and able to, otherwise tag it out and report it, in writing, to your trainer.</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Roles and signals brief</w:t>
            </w:r>
          </w:p>
        </w:tc>
        <w:tc>
          <w:tcPr>
            <w:tcMar>
              <w:top w:type="dxa" w:w="72"/>
              <w:left w:type="dxa" w:w="115"/>
              <w:bottom w:type="dxa" w:w="72"/>
              <w:right w:type="dxa" w:w="115"/>
            </w:tcMar>
            <w:vAlign w:val="top"/>
          </w:tcPr>
          <w:p>
            <w:pPr>
              <w:spacing w:after="140"/>
            </w:pPr>
            <w:r>
              <w:rPr>
                <w:b w:val="false"/>
                <w:bCs w:val="false"/>
                <w:color w:val="201E1D"/>
                <w:sz w:val="22"/>
                <w:szCs w:val="22"/>
              </w:rPr>
              <w:t xml:space="preserve">In a team of three, run a two-minute pre-start brief before a levelling task. Nominate who is on the instrument, who is on the staff and who records. Agree and demonstrate hand signals for: move left, move right, raise the staff, lower the staff, hold steady, reading taken, stop work. Then separate to at least 50 m and complete a short set of instructions given by signal only, with no shouting and no phones. Swap roles and repeat.</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Planning a levelling job — short answer</w:t>
            </w:r>
          </w:p>
        </w:tc>
        <w:tc>
          <w:tcPr>
            <w:tcMar>
              <w:top w:type="dxa" w:w="72"/>
              <w:left w:type="dxa" w:w="115"/>
              <w:bottom w:type="dxa" w:w="72"/>
              <w:right w:type="dxa" w:w="115"/>
            </w:tcMar>
            <w:vAlign w:val="top"/>
          </w:tcPr>
          <w:p>
            <w:pPr>
              <w:spacing w:after="140"/>
            </w:pPr>
            <w:r>
              <w:rPr>
                <w:b w:val="false"/>
                <w:bCs w:val="false"/>
                <w:color w:val="201E1D"/>
                <w:sz w:val="22"/>
                <w:szCs w:val="22"/>
              </w:rPr>
              <w:t xml:space="preserve">Ten short-answer questions set on a real job: reading an RL off a plan, working out a fall in millimetres, deciding whether a hazard is yours to control or to report, choosing the right levelling device for a job described in the question, and stating what you do with a level that will not hold its bubble. Closed book except for the plan extract provided.</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Wrap up</w:t>
            </w:r>
          </w:p>
        </w:tc>
        <w:tc>
          <w:tcPr>
            <w:tcMar>
              <w:top w:type="dxa" w:w="72"/>
              <w:left w:type="dxa" w:w="115"/>
              <w:bottom w:type="dxa" w:w="72"/>
              <w:right w:type="dxa" w:w="115"/>
            </w:tcMar>
            <w:vAlign w:val="top"/>
          </w:tcPr>
          <w:p>
            <w:pPr>
              <w:spacing w:after="140"/>
            </w:pPr>
            <w:r>
              <w:rPr>
                <w:b w:val="false"/>
                <w:bCs w:val="false"/>
                <w:color w:val="201E1D"/>
                <w:sz w:val="22"/>
                <w:szCs w:val="22"/>
              </w:rPr>
              <w:t xml:space="preserve">What good looked like today, the single thing to remember, and what the next session needs them to have practised.</w:t>
            </w:r>
          </w:p>
        </w:tc>
      </w:tr>
    </w:tbl>
    <w:p>
      <w:pPr>
        <w:pStyle w:val="Heading2"/>
        <w:pBdr>
          <w:bottom w:val="single" w:color="EC3013" w:sz="12" w:space="2"/>
        </w:pBdr>
        <w:spacing w:after="220" w:before="280"/>
      </w:pPr>
      <w:r>
        <w:rPr>
          <w:b/>
          <w:bCs/>
          <w:color w:val="201E1D"/>
          <w:sz w:val="28"/>
          <w:szCs w:val="28"/>
        </w:rPr>
        <w:t xml:space="preserve">Set up before the session</w:t>
      </w:r>
    </w:p>
    <w:p>
      <w:pPr>
        <w:spacing w:after="140"/>
      </w:pPr>
      <w:r>
        <w:rPr>
          <w:b w:val="false"/>
          <w:bCs w:val="false"/>
          <w:color w:val="201E1D"/>
          <w:sz w:val="22"/>
          <w:szCs w:val="22"/>
        </w:rPr>
        <w:t xml:space="preserve">☐ Set-out plan, footing detail and RL or levels schedule for the job (current revision)</w:t>
      </w:r>
    </w:p>
    <w:p>
      <w:pPr>
        <w:spacing w:after="140"/>
      </w:pPr>
      <w:r>
        <w:rPr>
          <w:b w:val="false"/>
          <w:bCs w:val="false"/>
          <w:color w:val="201E1D"/>
          <w:sz w:val="22"/>
          <w:szCs w:val="22"/>
        </w:rPr>
        <w:t xml:space="preserve">☐ SWMS or JSA for basic levelling procedures, plus the site safety plan</w:t>
      </w:r>
    </w:p>
    <w:p>
      <w:pPr>
        <w:spacing w:after="140"/>
      </w:pPr>
      <w:r>
        <w:rPr>
          <w:b w:val="false"/>
          <w:bCs w:val="false"/>
          <w:color w:val="201E1D"/>
          <w:sz w:val="22"/>
          <w:szCs w:val="22"/>
        </w:rPr>
        <w:t xml:space="preserve">☐ Site hazard report form and pre-start/toolbox record</w:t>
      </w:r>
    </w:p>
    <w:p>
      <w:pPr>
        <w:spacing w:after="140"/>
      </w:pPr>
      <w:r>
        <w:rPr>
          <w:b w:val="false"/>
          <w:bCs w:val="false"/>
          <w:color w:val="201E1D"/>
          <w:sz w:val="22"/>
          <w:szCs w:val="22"/>
        </w:rPr>
        <w:t xml:space="preserve">☐ Field book or booking sheet and a pen (not a pencil for records)</w:t>
      </w:r>
    </w:p>
    <w:p>
      <w:pPr>
        <w:spacing w:after="140"/>
      </w:pPr>
      <w:r>
        <w:rPr>
          <w:b w:val="false"/>
          <w:bCs w:val="false"/>
          <w:color w:val="201E1D"/>
          <w:sz w:val="22"/>
          <w:szCs w:val="22"/>
        </w:rPr>
        <w:t xml:space="preserve">☐ Automatic (dumpy) level in its case, with tripod</w:t>
      </w:r>
    </w:p>
    <w:p>
      <w:pPr>
        <w:spacing w:after="140"/>
      </w:pPr>
      <w:r>
        <w:rPr>
          <w:b w:val="false"/>
          <w:bCs w:val="false"/>
          <w:color w:val="201E1D"/>
          <w:sz w:val="22"/>
          <w:szCs w:val="22"/>
        </w:rPr>
        <w:t xml:space="preserve">☐ Telescopic 5 m E-face levelling staff with staff bubble</w:t>
      </w:r>
    </w:p>
    <w:p>
      <w:pPr>
        <w:spacing w:after="140"/>
      </w:pPr>
      <w:r>
        <w:rPr>
          <w:b w:val="false"/>
          <w:bCs w:val="false"/>
          <w:color w:val="201E1D"/>
          <w:sz w:val="22"/>
          <w:szCs w:val="22"/>
        </w:rPr>
        <w:t xml:space="preserve">☐ 1200 mm aluminium spirit level and 3 m straight edge</w:t>
      </w:r>
    </w:p>
    <w:p>
      <w:pPr>
        <w:spacing w:after="140"/>
      </w:pPr>
      <w:r>
        <w:rPr>
          <w:b w:val="false"/>
          <w:bCs w:val="false"/>
          <w:color w:val="201E1D"/>
          <w:sz w:val="22"/>
          <w:szCs w:val="22"/>
        </w:rPr>
        <w:t xml:space="preserve">☐ Clear water level hose (minimum 15 m), filled and free of air</w:t>
      </w:r>
    </w:p>
    <w:p>
      <w:pPr>
        <w:spacing w:after="140"/>
      </w:pPr>
      <w:r>
        <w:rPr>
          <w:b w:val="false"/>
          <w:bCs w:val="false"/>
          <w:color w:val="201E1D"/>
          <w:sz w:val="22"/>
          <w:szCs w:val="22"/>
        </w:rPr>
        <w:t xml:space="preserve">☐ Rotating laser level with tripod, receiver/detector and staff clamp</w:t>
      </w:r>
    </w:p>
    <w:p>
      <w:pPr>
        <w:spacing w:after="140"/>
      </w:pPr>
      <w:r>
        <w:rPr>
          <w:b w:val="false"/>
          <w:bCs w:val="false"/>
          <w:color w:val="201E1D"/>
          <w:sz w:val="22"/>
          <w:szCs w:val="22"/>
        </w:rPr>
        <w:t xml:space="preserve">☐ Spare batteries for laser and detector</w:t>
      </w:r>
    </w:p>
    <w:p>
      <w:pPr>
        <w:spacing w:after="140"/>
      </w:pPr>
      <w:r>
        <w:rPr>
          <w:b w:val="false"/>
          <w:bCs w:val="false"/>
          <w:color w:val="201E1D"/>
          <w:sz w:val="22"/>
          <w:szCs w:val="22"/>
        </w:rPr>
        <w:t xml:space="preserve">☐ 8 m tape measure and 30 m fibreglass tape</w:t>
      </w:r>
    </w:p>
    <w:p>
      <w:pPr>
        <w:spacing w:after="140"/>
      </w:pPr>
      <w:r>
        <w:rPr>
          <w:b w:val="false"/>
          <w:bCs w:val="false"/>
          <w:color w:val="201E1D"/>
          <w:sz w:val="22"/>
          <w:szCs w:val="22"/>
        </w:rPr>
        <w:t xml:space="preserve">☐ Timber pegs, hardwood profiles, club hammer, string line and chalk line</w:t>
      </w:r>
    </w:p>
    <w:p>
      <w:pPr>
        <w:spacing w:after="140"/>
      </w:pPr>
      <w:r>
        <w:rPr>
          <w:b w:val="false"/>
          <w:bCs w:val="false"/>
          <w:color w:val="201E1D"/>
          <w:sz w:val="22"/>
          <w:szCs w:val="22"/>
        </w:rPr>
        <w:t xml:space="preserve">☐ Permanent marker, lumber crayon and spray marking paint</w:t>
      </w:r>
    </w:p>
    <w:p>
      <w:pPr>
        <w:spacing w:after="140"/>
      </w:pPr>
      <w:r>
        <w:rPr>
          <w:b w:val="false"/>
          <w:bCs w:val="false"/>
          <w:color w:val="201E1D"/>
          <w:sz w:val="22"/>
          <w:szCs w:val="22"/>
        </w:rPr>
        <w:t xml:space="preserve">☐ Equipment serviceability checklist and out-of-service tags</w:t>
      </w:r>
    </w:p>
    <w:p>
      <w:pPr>
        <w:spacing w:after="140"/>
      </w:pPr>
      <w:r>
        <w:rPr>
          <w:b w:val="false"/>
          <w:bCs w:val="false"/>
          <w:color w:val="201E1D"/>
          <w:sz w:val="22"/>
          <w:szCs w:val="22"/>
        </w:rPr>
        <w:t xml:space="preserve">☐ Lint-free cloth and lens brush for instrument optics</w:t>
      </w:r>
    </w:p>
    <w:p>
      <w:pPr>
        <w:spacing w:after="140"/>
      </w:pPr>
      <w:r>
        <w:rPr>
          <w:b w:val="false"/>
          <w:bCs w:val="false"/>
          <w:color w:val="201E1D"/>
          <w:sz w:val="22"/>
          <w:szCs w:val="22"/>
        </w:rPr>
        <w:t xml:space="preserve">☐ Two-way radios (as a backup to hand signals, not a replacement)</w:t>
      </w:r>
    </w:p>
    <w:p>
      <w:pPr>
        <w:spacing w:after="140"/>
      </w:pPr>
      <w:r>
        <w:rPr>
          <w:b w:val="false"/>
          <w:bCs w:val="false"/>
          <w:color w:val="201E1D"/>
          <w:sz w:val="22"/>
          <w:szCs w:val="22"/>
        </w:rPr>
        <w:t xml:space="preserve">☐ Hard hat, hi-vis vest or shirt, steel-capped safety boots, safety glasses, work gloves</w:t>
      </w:r>
    </w:p>
    <w:p>
      <w:pPr>
        <w:spacing w:after="140"/>
      </w:pPr>
      <w:r>
        <w:rPr>
          <w:b w:val="false"/>
          <w:bCs w:val="false"/>
          <w:color w:val="201E1D"/>
          <w:sz w:val="22"/>
          <w:szCs w:val="22"/>
        </w:rPr>
        <w:t xml:space="preserve">☐ Broad-brim hat attachment, sunscreen and drinking water for extended outdoor work</w:t>
      </w:r>
    </w:p>
    <w:p>
      <w:pPr>
        <w:pStyle w:val="Heading2"/>
        <w:pBdr>
          <w:bottom w:val="single" w:color="EC3013" w:sz="12" w:space="2"/>
        </w:pBdr>
        <w:spacing w:after="220" w:before="280"/>
      </w:pPr>
      <w:r>
        <w:rPr>
          <w:b/>
          <w:bCs/>
          <w:color w:val="201E1D"/>
          <w:sz w:val="28"/>
          <w:szCs w:val="28"/>
        </w:rPr>
        <w:t xml:space="preserve">Watch for</w:t>
      </w:r>
    </w:p>
    <w:p>
      <w:pPr>
        <w:spacing w:after="140"/>
      </w:pPr>
      <w:r>
        <w:rPr>
          <w:b w:val="false"/>
          <w:bCs w:val="false"/>
          <w:color w:val="201E1D"/>
          <w:sz w:val="22"/>
          <w:szCs w:val="22"/>
        </w:rPr>
        <w:t xml:space="preserve">· Students routinely skip the datum. Give them a plan with two possible benchmarks marked and watch how many just start shooting from the nearest peg. Make them nominate the datum out loud and justify it before they touch the instrument.</w:t>
      </w:r>
    </w:p>
    <w:p>
      <w:pPr>
        <w:spacing w:after="140"/>
      </w:pPr>
      <w:r>
        <w:rPr>
          <w:b w:val="false"/>
          <w:bCs w:val="false"/>
          <w:color w:val="201E1D"/>
          <w:sz w:val="22"/>
          <w:szCs w:val="22"/>
        </w:rPr>
        <w:t xml:space="preserve">· Watch for 'confirming' that is really just receiving. The student should be repeating figures back — 'datum peg at the driveway, RL 100.000, finished floor 100.150, that's 150 up' — and getting a yes.</w:t>
      </w:r>
    </w:p>
    <w:p>
      <w:pPr>
        <w:spacing w:after="140"/>
      </w:pPr>
      <w:r>
        <w:rPr>
          <w:b w:val="false"/>
          <w:bCs w:val="false"/>
          <w:color w:val="201E1D"/>
          <w:sz w:val="22"/>
          <w:szCs w:val="22"/>
        </w:rPr>
        <w:t xml:space="preserve">· Offsets and gradients trip people up. Have them do the arithmetic on paper at the pre-start, not in their head at the staff. A 1:100 fall over 12 m is 120 mm and half the group will say 12 mm.</w:t>
      </w:r>
    </w:p>
    <w:p>
      <w:pPr>
        <w:spacing w:after="140"/>
      </w:pPr>
      <w:r>
        <w:rPr>
          <w:b w:val="false"/>
          <w:bCs w:val="false"/>
          <w:color w:val="201E1D"/>
          <w:sz w:val="22"/>
          <w:szCs w:val="22"/>
        </w:rPr>
        <w:t xml:space="preserve">· Overhead powerlines are the safety callout for this unit. Reinforce that a telescopic staff is a conductor and that the exclusion zone applies to the staff, not the person. Ban extending staffs under or near lines, full stop.</w:t>
      </w:r>
    </w:p>
    <w:p>
      <w:pPr>
        <w:spacing w:after="140"/>
      </w:pPr>
      <w:r>
        <w:rPr>
          <w:b w:val="false"/>
          <w:bCs w:val="false"/>
          <w:color w:val="201E1D"/>
          <w:sz w:val="22"/>
          <w:szCs w:val="22"/>
        </w:rPr>
        <w:t xml:space="preserve">· Common site-walk failure: students look at the ground and never look up or behind them. Send them out with a checklist that forces eyes up, eyes down, eyes along the sight line.</w:t>
      </w:r>
    </w:p>
    <w:p>
      <w:pPr>
        <w:spacing w:after="140"/>
      </w:pPr>
      <w:r>
        <w:rPr>
          <w:b w:val="false"/>
          <w:bCs w:val="false"/>
          <w:color w:val="201E1D"/>
          <w:sz w:val="22"/>
          <w:szCs w:val="22"/>
        </w:rPr>
        <w:t xml:space="preserve">· Students report hazards verbally and think that is finished. Insist on the written step as well — pre-start book, hazard report, or whatever the RTO's simulated site procedure requires — and mark it as incomplete if the paperwork is missing.</w:t>
      </w:r>
    </w:p>
    <w:p>
      <w:pPr>
        <w:spacing w:after="140"/>
      </w:pPr>
      <w:r>
        <w:rPr>
          <w:b w:val="false"/>
          <w:bCs w:val="false"/>
          <w:color w:val="201E1D"/>
          <w:sz w:val="22"/>
          <w:szCs w:val="22"/>
        </w:rPr>
        <w:t xml:space="preserve">· Equipment checks get done as a glance. Make them handle it: pick the tripod up by the head and feel for movement, rotate the instrument through 360 degrees to see the bubble stay centred, extend and lock every staff section, run the water hose out and look for air.</w:t>
      </w:r>
    </w:p>
    <w:p>
      <w:pPr>
        <w:spacing w:after="140"/>
      </w:pPr>
      <w:r>
        <w:rPr>
          <w:b w:val="false"/>
          <w:bCs w:val="false"/>
          <w:color w:val="201E1D"/>
          <w:sz w:val="22"/>
          <w:szCs w:val="22"/>
        </w:rPr>
        <w:t xml:space="preserve">· Expect students to find a fault and keep going because they do not want to lose time. Plant a deliberate fault — a loose leg clamp, a flat laser battery, a staff clip that will not lock — and assess what they do about it.</w:t>
      </w:r>
    </w:p>
    <w:p>
      <w:pPr>
        <w:spacing w:after="140"/>
      </w:pPr>
      <w:r>
        <w:rPr>
          <w:b w:val="false"/>
          <w:bCs w:val="false"/>
          <w:color w:val="201E1D"/>
          <w:sz w:val="22"/>
          <w:szCs w:val="22"/>
        </w:rPr>
        <w:t xml:space="preserve">· Hand signals are treated as a joke until the first time someone shouts across a slab for five minutes. Make signals agreed and demonstrated before they separate, and hold students to the agreed set even when they could hear each other.</w:t>
      </w:r>
    </w:p>
    <w:p>
      <w:pPr>
        <w:spacing w:after="140"/>
      </w:pPr>
      <w:r>
        <w:rPr>
          <w:b w:val="false"/>
          <w:bCs w:val="false"/>
          <w:color w:val="201E1D"/>
          <w:sz w:val="22"/>
          <w:szCs w:val="22"/>
        </w:rPr>
        <w:t xml:space="preserve">· Watch PPE at the pre-start, not just on the tools. Sun protection matters — levelling crews stand in the open for hours — and it is a legitimate part of planning on an Australian site.</w:t>
      </w:r>
    </w:p>
    <w:p>
      <w:pPr>
        <w:pStyle w:val="Heading2"/>
        <w:pBdr>
          <w:bottom w:val="single" w:color="EC3013" w:sz="12" w:space="2"/>
        </w:pBdr>
        <w:spacing w:after="220" w:before="280"/>
      </w:pPr>
      <w:r>
        <w:rPr>
          <w:b/>
          <w:bCs/>
          <w:color w:val="201E1D"/>
          <w:sz w:val="28"/>
          <w:szCs w:val="28"/>
        </w:rPr>
        <w:t xml:space="preserve">Attendance and notes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Session plan — Plan and prepare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Session plan — Plan and prepare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2026-08-30T08:30:28.121Z</dcterms:created>
  <dcterms:modified xsi:type="dcterms:W3CDTF">2026-08-30T08:30:28.121Z</dcterms:modified>
</cp:coreProperties>
</file>

<file path=docProps/custom.xml><?xml version="1.0" encoding="utf-8"?>
<Properties xmlns="http://schemas.openxmlformats.org/officeDocument/2006/custom-properties" xmlns:vt="http://schemas.openxmlformats.org/officeDocument/2006/docPropsVTypes"/>
</file>